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C8B" w:rsidRDefault="00727C8B">
      <w:pPr>
        <w:pStyle w:val="BodyText"/>
        <w:spacing w:before="128"/>
        <w:ind w:left="0"/>
        <w:rPr>
          <w:sz w:val="20"/>
        </w:rPr>
      </w:pPr>
    </w:p>
    <w:p w:rsidR="00727C8B" w:rsidRDefault="00727C8B">
      <w:pPr>
        <w:pStyle w:val="BodyText"/>
        <w:rPr>
          <w:sz w:val="20"/>
        </w:rPr>
        <w:sectPr w:rsidR="00727C8B">
          <w:footerReference w:type="default" r:id="rId7"/>
          <w:type w:val="continuous"/>
          <w:pgSz w:w="12240" w:h="15840"/>
          <w:pgMar w:top="0" w:right="720" w:bottom="720" w:left="1080" w:header="0" w:footer="539" w:gutter="0"/>
          <w:pgNumType w:start="1"/>
          <w:cols w:space="720"/>
        </w:sectPr>
      </w:pPr>
    </w:p>
    <w:p w:rsidR="00727C8B" w:rsidRDefault="00727C8B">
      <w:pPr>
        <w:pStyle w:val="Title"/>
        <w:spacing w:line="184" w:lineRule="auto"/>
      </w:pPr>
      <w:r w:rsidRPr="00727C8B">
        <w:lastRenderedPageBreak/>
        <w:pict>
          <v:shape id="docshape3" o:spid="_x0000_s2053" style="position:absolute;left:0;text-align:left;margin-left:0;margin-top:0;width:29.65pt;height:90pt;z-index:15729152;mso-position-horizontal-relative:page;mso-position-vertical-relative:page" coordsize="593,1800" path="m593,l363,,343,,,,,1799r343,l363,1799r230,l593,xe" fillcolor="#231f20" stroked="f">
            <v:path arrowok="t"/>
            <w10:wrap anchorx="page" anchory="page"/>
          </v:shape>
        </w:pict>
      </w:r>
      <w:r w:rsidRPr="00727C8B">
        <w:pict>
          <v:shapetype id="_x0000_t202" coordsize="21600,21600" o:spt="202" path="m,l,21600r21600,l21600,xe">
            <v:stroke joinstyle="miter"/>
            <v:path gradientshapeok="t" o:connecttype="rect"/>
          </v:shapetype>
          <v:shape id="docshape4" o:spid="_x0000_s2052" type="#_x0000_t202" style="position:absolute;left:0;text-align:left;margin-left:10pt;margin-top:17.05pt;width:11.05pt;height:61.45pt;z-index:15729664;mso-position-horizontal-relative:page;mso-position-vertical-relative:page" filled="f" stroked="f">
            <v:textbox style="layout-flow:vertical;mso-layout-flow-alt:bottom-to-top" inset="0,0,0,0">
              <w:txbxContent>
                <w:p w:rsidR="00727C8B" w:rsidRDefault="00727C8B" w:rsidP="008B574F">
                  <w:pPr>
                    <w:spacing w:before="22"/>
                    <w:rPr>
                      <w:rFonts w:ascii="Verdana"/>
                      <w:sz w:val="14"/>
                    </w:rPr>
                  </w:pPr>
                </w:p>
              </w:txbxContent>
            </v:textbox>
            <w10:wrap anchorx="page" anchory="page"/>
          </v:shape>
        </w:pict>
      </w:r>
      <w:r w:rsidR="00E22481">
        <w:rPr>
          <w:smallCaps/>
          <w:color w:val="231F20"/>
        </w:rPr>
        <w:t>Skype,Codeand Shouting:A</w:t>
      </w:r>
      <w:r w:rsidR="00E22481">
        <w:rPr>
          <w:smallCaps/>
          <w:color w:val="231F20"/>
        </w:rPr>
        <w:t xml:space="preserve">Digitally Mediated Drama between Egypt and </w:t>
      </w:r>
      <w:r w:rsidR="00E22481">
        <w:rPr>
          <w:smallCaps/>
          <w:color w:val="231F20"/>
          <w:spacing w:val="-2"/>
        </w:rPr>
        <w:t>Scotland</w:t>
      </w:r>
    </w:p>
    <w:p w:rsidR="00727C8B" w:rsidRDefault="00727C8B">
      <w:pPr>
        <w:spacing w:before="80"/>
        <w:ind w:left="34"/>
        <w:rPr>
          <w:sz w:val="16"/>
        </w:rPr>
      </w:pPr>
    </w:p>
    <w:p w:rsidR="00727C8B" w:rsidRDefault="00E22481">
      <w:pPr>
        <w:spacing w:before="102"/>
        <w:ind w:left="34"/>
        <w:rPr>
          <w:b/>
          <w:sz w:val="17"/>
        </w:rPr>
      </w:pPr>
      <w:r>
        <w:rPr>
          <w:b/>
          <w:color w:val="231F20"/>
          <w:spacing w:val="-2"/>
          <w:sz w:val="17"/>
        </w:rPr>
        <w:t>Abstract</w:t>
      </w:r>
    </w:p>
    <w:p w:rsidR="00727C8B" w:rsidRDefault="00E22481">
      <w:pPr>
        <w:spacing w:before="85" w:line="196" w:lineRule="auto"/>
        <w:ind w:left="34" w:right="40"/>
        <w:rPr>
          <w:sz w:val="17"/>
        </w:rPr>
      </w:pPr>
      <w:r>
        <w:rPr>
          <w:i/>
          <w:color w:val="231F20"/>
          <w:sz w:val="17"/>
        </w:rPr>
        <w:t xml:space="preserve">Springtime </w:t>
      </w:r>
      <w:r>
        <w:rPr>
          <w:color w:val="231F20"/>
          <w:sz w:val="17"/>
        </w:rPr>
        <w:t>(Tron Theatre, Glasgow, 19 May 2012) was a computationally mediated theatrical performance involving Arab and Glaswegian-Arab actors and musicians. The project</w:t>
      </w:r>
      <w:r>
        <w:rPr>
          <w:color w:val="231F20"/>
          <w:sz w:val="17"/>
        </w:rPr>
        <w:t>was produced by Ankur Theatre Productions, Scotland's foremost black and ethnic minoritytheatrecompany.</w:t>
      </w:r>
      <w:r>
        <w:rPr>
          <w:i/>
          <w:color w:val="231F20"/>
          <w:sz w:val="17"/>
        </w:rPr>
        <w:t>Springtime</w:t>
      </w:r>
      <w:r>
        <w:rPr>
          <w:color w:val="231F20"/>
          <w:sz w:val="17"/>
        </w:rPr>
        <w:t>wasdirectedbythedramaturge Shabina Aslam</w:t>
      </w:r>
      <w:r w:rsidR="008B574F">
        <w:rPr>
          <w:color w:val="231F20"/>
          <w:sz w:val="17"/>
        </w:rPr>
        <w:t xml:space="preserve"> and Designed by the production designer Ricardo Pardo</w:t>
      </w:r>
      <w:r>
        <w:rPr>
          <w:color w:val="231F20"/>
          <w:sz w:val="17"/>
        </w:rPr>
        <w:t>. Against the backdrop of the “Arab Spring” and its aftermath, the play explored issues of authenticity</w:t>
      </w:r>
      <w:r>
        <w:rPr>
          <w:color w:val="231F20"/>
          <w:sz w:val="17"/>
        </w:rPr>
        <w:t xml:space="preserve"> and identity as mediated through multiple technologies. This paper explores the impact and significance of the production and evaluates the use of Skype, social media and custom-made software in the writing, rehearsal and final performance stages of the p</w:t>
      </w:r>
      <w:r>
        <w:rPr>
          <w:color w:val="231F20"/>
          <w:sz w:val="17"/>
        </w:rPr>
        <w:t>lay.</w:t>
      </w:r>
    </w:p>
    <w:p w:rsidR="00727C8B" w:rsidRDefault="00727C8B">
      <w:pPr>
        <w:pStyle w:val="BodyText"/>
        <w:spacing w:before="22"/>
        <w:ind w:left="0"/>
        <w:rPr>
          <w:sz w:val="17"/>
        </w:rPr>
      </w:pPr>
    </w:p>
    <w:p w:rsidR="00727C8B" w:rsidRDefault="00E22481">
      <w:pPr>
        <w:pStyle w:val="BodyText"/>
        <w:spacing w:line="242" w:lineRule="auto"/>
        <w:ind w:right="24"/>
      </w:pPr>
      <w:r>
        <w:rPr>
          <w:i/>
          <w:color w:val="231F20"/>
        </w:rPr>
        <w:t xml:space="preserve">Springtime </w:t>
      </w:r>
      <w:r>
        <w:rPr>
          <w:color w:val="231F20"/>
        </w:rPr>
        <w:t>(Ankur Productions, 19 May 2012) combined traditional theatrical forms with digital technologies to articulate a culturally urgent investigation into social media and its ramifications, specifically the diverse acts of public protest (2011</w:t>
      </w:r>
      <w:r>
        <w:rPr>
          <w:color w:val="231F20"/>
        </w:rPr>
        <w:t>-2012) now often referred to as the “Arab Spring.” Both Western and non-Western theatre have a long tradition of interrogating the core political and social practices of our lives, articulating what Collini [1] frames as ‘relations of power in a given spac</w:t>
      </w:r>
      <w:r>
        <w:rPr>
          <w:color w:val="231F20"/>
        </w:rPr>
        <w:t xml:space="preserve">e.’ </w:t>
      </w:r>
      <w:r>
        <w:rPr>
          <w:i/>
          <w:color w:val="231F20"/>
        </w:rPr>
        <w:t xml:space="preserve">Springtime </w:t>
      </w:r>
      <w:r>
        <w:rPr>
          <w:color w:val="231F20"/>
        </w:rPr>
        <w:t>demonstrates how live performancesupportedbysocialmediaisanappropriatespace to articulate relations of power across and between complex, multi-dimensional channels of communication and culture.</w:t>
      </w:r>
    </w:p>
    <w:p w:rsidR="00727C8B" w:rsidRDefault="00E22481">
      <w:pPr>
        <w:pStyle w:val="BodyText"/>
        <w:spacing w:line="242" w:lineRule="auto"/>
        <w:ind w:right="25"/>
      </w:pPr>
      <w:r>
        <w:rPr>
          <w:color w:val="231F20"/>
        </w:rPr>
        <w:t xml:space="preserve">The Egyptian and Scottish actors involved in </w:t>
      </w:r>
      <w:r>
        <w:rPr>
          <w:i/>
          <w:color w:val="231F20"/>
        </w:rPr>
        <w:t>Sp</w:t>
      </w:r>
      <w:r>
        <w:rPr>
          <w:i/>
          <w:color w:val="231F20"/>
        </w:rPr>
        <w:t xml:space="preserve">ringtime </w:t>
      </w:r>
      <w:r>
        <w:rPr>
          <w:color w:val="231F20"/>
        </w:rPr>
        <w:t>documented, via ‘real’ blogs and diaries, their own economic and personal struggles as well as the impact of being involved with the play on their lives. The production used technologies thatechothoseusedbyEgyptiandemonstrators,suchasblogs, tweets</w:t>
      </w:r>
      <w:r>
        <w:rPr>
          <w:color w:val="231F20"/>
        </w:rPr>
        <w:t xml:space="preserve">, fictional diaries, YouTube videos and Facebook; however, as in the protests, there are no clear-cut quantifications available to measure the direct impact or agency of social media. Rather, we frame the outcomes as a dialogue. Indeed, digitally mediated </w:t>
      </w:r>
      <w:r>
        <w:rPr>
          <w:color w:val="231F20"/>
        </w:rPr>
        <w:t>conversation has been identified as one of the core channels for non-violent protest,in which “In addition to enabling young people to organize, technology has facilitated the growing participation of women in political conversation” [2].</w:t>
      </w:r>
    </w:p>
    <w:p w:rsidR="00727C8B" w:rsidRDefault="00E22481">
      <w:pPr>
        <w:pStyle w:val="BodyText"/>
        <w:spacing w:line="242" w:lineRule="auto"/>
        <w:ind w:firstLine="187"/>
      </w:pPr>
      <w:r>
        <w:rPr>
          <w:color w:val="231F20"/>
        </w:rPr>
        <w:t>Research into Soc</w:t>
      </w:r>
      <w:r>
        <w:rPr>
          <w:color w:val="231F20"/>
        </w:rPr>
        <w:t>ial Media and the Arab Spring yields confusing quantitative results, Howard et al. [2] propose conclusivelythatsocialmediahavebeeninstrumentalforces:</w:t>
      </w:r>
    </w:p>
    <w:p w:rsidR="00727C8B" w:rsidRDefault="00E22481">
      <w:pPr>
        <w:pStyle w:val="BodyText"/>
        <w:spacing w:before="59" w:line="216" w:lineRule="auto"/>
        <w:ind w:left="221" w:right="171"/>
      </w:pPr>
      <w:r>
        <w:rPr>
          <w:color w:val="231F20"/>
        </w:rPr>
        <w:t>Social media was used heavily to conduct political conversations by a key demographic group in the revolut</w:t>
      </w:r>
      <w:r>
        <w:rPr>
          <w:color w:val="231F20"/>
        </w:rPr>
        <w:t>ion - young, urban, relatively well educated individuals,manyofwhomwerewomen.Bothbeforeand during the revolutions, these individuals used Facebook, Twitter, and YouTube to put pressure on their governments. In some cases, they used new technologies in crea</w:t>
      </w:r>
      <w:r>
        <w:rPr>
          <w:color w:val="231F20"/>
        </w:rPr>
        <w:t>tive ways such as in Tunisia where democracy advocatesembarrassedPresidentZineElAbidineBenAli by streaming video of his wife using a government jet to make expensive shopping trips to Europe [2].</w:t>
      </w:r>
    </w:p>
    <w:p w:rsidR="00727C8B" w:rsidRDefault="00E22481">
      <w:pPr>
        <w:pStyle w:val="BodyText"/>
        <w:spacing w:before="81" w:line="242" w:lineRule="auto"/>
        <w:ind w:firstLine="187"/>
      </w:pPr>
      <w:r>
        <w:rPr>
          <w:color w:val="231F20"/>
        </w:rPr>
        <w:t>While we cannot make quantitative claims for social media as</w:t>
      </w:r>
      <w:r>
        <w:rPr>
          <w:color w:val="231F20"/>
        </w:rPr>
        <w:t xml:space="preserve"> vehemently as Howard et al. we concur that creative strategieshavebeensignificantandthat</w:t>
      </w:r>
      <w:r>
        <w:rPr>
          <w:i/>
          <w:color w:val="231F20"/>
        </w:rPr>
        <w:t>Springtime</w:t>
      </w:r>
      <w:r>
        <w:rPr>
          <w:color w:val="231F20"/>
        </w:rPr>
        <w:t>wasaform of digitally mediated creative protest. On the other hand, we</w:t>
      </w:r>
    </w:p>
    <w:p w:rsidR="00727C8B" w:rsidRDefault="00E22481">
      <w:pPr>
        <w:pStyle w:val="BodyText"/>
        <w:spacing w:before="145"/>
      </w:pPr>
      <w:r>
        <w:br w:type="column"/>
      </w:r>
      <w:r>
        <w:rPr>
          <w:color w:val="231F20"/>
        </w:rPr>
        <w:lastRenderedPageBreak/>
        <w:t>takethepointmadebyStepanova</w:t>
      </w:r>
      <w:r>
        <w:rPr>
          <w:color w:val="231F20"/>
          <w:spacing w:val="-2"/>
        </w:rPr>
        <w:t>that:</w:t>
      </w:r>
    </w:p>
    <w:p w:rsidR="00727C8B" w:rsidRDefault="00E22481">
      <w:pPr>
        <w:pStyle w:val="BodyText"/>
        <w:spacing w:before="80" w:line="216" w:lineRule="auto"/>
        <w:ind w:left="221" w:right="737"/>
      </w:pPr>
      <w:r>
        <w:rPr>
          <w:color w:val="231F20"/>
        </w:rPr>
        <w:t>ICT and social media had little to do with the under</w:t>
      </w:r>
      <w:r>
        <w:rPr>
          <w:color w:val="231F20"/>
        </w:rPr>
        <w:t>lying sociopolitical and socioeconomic factors behind the protest movement. In Egypt, the sociopolitical gap between the small ruling elite and the bulk of the population had long reached critical levels, prompting most experts in the region to expect a ma</w:t>
      </w:r>
      <w:r>
        <w:rPr>
          <w:color w:val="231F20"/>
        </w:rPr>
        <w:t>jor upheaval at some point. However, the fact that the crisis occurred sooner rather than later, in direct follow-up to protests in Tunisia,waslargelyduetotheinitialmobilizingeffectsof ICT and social media networks [3].</w:t>
      </w:r>
    </w:p>
    <w:p w:rsidR="00727C8B" w:rsidRDefault="00E22481">
      <w:pPr>
        <w:pStyle w:val="BodyText"/>
        <w:spacing w:before="81" w:line="242" w:lineRule="auto"/>
        <w:ind w:right="546" w:firstLine="187"/>
      </w:pPr>
      <w:r>
        <w:rPr>
          <w:color w:val="231F20"/>
        </w:rPr>
        <w:t xml:space="preserve">Social media is an ambivalent locus </w:t>
      </w:r>
      <w:r>
        <w:rPr>
          <w:color w:val="231F20"/>
        </w:rPr>
        <w:t xml:space="preserve">for dramaturgical intervention, with both dangers and potential benefits in framing it as an interface to ‘live’ performance. </w:t>
      </w:r>
      <w:r>
        <w:rPr>
          <w:i/>
          <w:color w:val="231F20"/>
        </w:rPr>
        <w:t xml:space="preserve">Springtime </w:t>
      </w:r>
      <w:r>
        <w:rPr>
          <w:color w:val="231F20"/>
        </w:rPr>
        <w:t>questions the authenticity of ‘liveness’ as a cultural and technologicalconstruct,whilealsoassertingapositiveclaimto th</w:t>
      </w:r>
      <w:r>
        <w:rPr>
          <w:color w:val="231F20"/>
        </w:rPr>
        <w:t>e potential of digital media as an agent for social change and inclusiveness in contemporary performance spaces.</w:t>
      </w:r>
    </w:p>
    <w:p w:rsidR="00727C8B" w:rsidRDefault="00E22481">
      <w:pPr>
        <w:pStyle w:val="BodyText"/>
        <w:spacing w:line="242" w:lineRule="auto"/>
        <w:ind w:right="546" w:firstLine="187"/>
      </w:pPr>
      <w:r>
        <w:rPr>
          <w:color w:val="231F20"/>
        </w:rPr>
        <w:t>The early narrative of the Arab Spring was often framed in technologically deterministicterms,anarrative inwhichsocial mediasuchasFacebookandTw</w:t>
      </w:r>
      <w:r>
        <w:rPr>
          <w:color w:val="231F20"/>
        </w:rPr>
        <w:t>itterwerecitedasinstrumental in engendering political change.</w:t>
      </w:r>
    </w:p>
    <w:p w:rsidR="00727C8B" w:rsidRDefault="00E22481">
      <w:pPr>
        <w:pStyle w:val="BodyText"/>
        <w:spacing w:line="242" w:lineRule="auto"/>
        <w:ind w:right="746" w:firstLine="187"/>
        <w:jc w:val="both"/>
      </w:pPr>
      <w:r>
        <w:rPr>
          <w:color w:val="231F20"/>
        </w:rPr>
        <w:t>Theapparentrapidity ofthischangewasalsoattributedto theagencyofonlinesocialmediationandtothe‘liveness’of such media.</w:t>
      </w:r>
    </w:p>
    <w:p w:rsidR="00727C8B" w:rsidRDefault="00E22481">
      <w:pPr>
        <w:pStyle w:val="BodyText"/>
        <w:spacing w:before="7"/>
        <w:ind w:left="0"/>
        <w:rPr>
          <w:sz w:val="6"/>
        </w:rPr>
      </w:pPr>
      <w:r>
        <w:rPr>
          <w:noProof/>
          <w:sz w:val="6"/>
          <w:lang w:val="en-GB" w:eastAsia="en-GB"/>
        </w:rPr>
        <w:drawing>
          <wp:anchor distT="0" distB="0" distL="0" distR="0" simplePos="0" relativeHeight="487587840" behindDoc="1" locked="0" layoutInCell="1" allowOverlap="1">
            <wp:simplePos x="0" y="0"/>
            <wp:positionH relativeFrom="page">
              <wp:posOffset>4446671</wp:posOffset>
            </wp:positionH>
            <wp:positionV relativeFrom="paragraph">
              <wp:posOffset>63910</wp:posOffset>
            </wp:positionV>
            <wp:extent cx="2036956" cy="153009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036956" cy="1530096"/>
                    </a:xfrm>
                    <a:prstGeom prst="rect">
                      <a:avLst/>
                    </a:prstGeom>
                  </pic:spPr>
                </pic:pic>
              </a:graphicData>
            </a:graphic>
          </wp:anchor>
        </w:drawing>
      </w:r>
    </w:p>
    <w:p w:rsidR="00727C8B" w:rsidRDefault="00E22481">
      <w:pPr>
        <w:spacing w:before="77"/>
        <w:ind w:left="34" w:right="622"/>
        <w:rPr>
          <w:b/>
          <w:sz w:val="17"/>
        </w:rPr>
      </w:pPr>
      <w:r>
        <w:rPr>
          <w:b/>
          <w:color w:val="231F20"/>
          <w:sz w:val="17"/>
        </w:rPr>
        <w:t>Fig.1.</w:t>
      </w:r>
      <w:r>
        <w:rPr>
          <w:b/>
          <w:i/>
          <w:color w:val="231F20"/>
          <w:sz w:val="17"/>
        </w:rPr>
        <w:t>Springtime</w:t>
      </w:r>
      <w:r>
        <w:rPr>
          <w:b/>
          <w:color w:val="231F20"/>
          <w:sz w:val="17"/>
        </w:rPr>
        <w:t>,2012.MohammedHagrassytalkingvia</w:t>
      </w:r>
      <w:r>
        <w:rPr>
          <w:b/>
          <w:color w:val="231F20"/>
          <w:sz w:val="17"/>
        </w:rPr>
        <w:t xml:space="preserve">Skype to audiences in Glasgow. (© Shabina Aslam. Photo: Ricardo </w:t>
      </w:r>
      <w:r>
        <w:rPr>
          <w:b/>
          <w:color w:val="231F20"/>
          <w:spacing w:val="-2"/>
          <w:sz w:val="17"/>
        </w:rPr>
        <w:t>Pardo.)</w:t>
      </w:r>
    </w:p>
    <w:p w:rsidR="00727C8B" w:rsidRDefault="00E22481">
      <w:pPr>
        <w:pStyle w:val="BodyText"/>
        <w:spacing w:before="121" w:line="242" w:lineRule="auto"/>
        <w:ind w:right="553"/>
      </w:pPr>
      <w:r>
        <w:rPr>
          <w:color w:val="231F20"/>
        </w:rPr>
        <w:t>But we would like to interrogate this notion of ‘liveness,’ toask whether the ‘live’ has ontological credibility or potency as adramaticconcept,whetheritstillhasrelevanceormeaningin co</w:t>
      </w:r>
      <w:r>
        <w:rPr>
          <w:color w:val="231F20"/>
        </w:rPr>
        <w:t xml:space="preserve">ntemporary performance spaces, or, indeed, if the ‘live’ it- self is a Utopian construct. Rehearsals as well as the final per- formance of </w:t>
      </w:r>
      <w:r>
        <w:rPr>
          <w:i/>
          <w:color w:val="231F20"/>
        </w:rPr>
        <w:t xml:space="preserve">Springtime </w:t>
      </w:r>
      <w:r>
        <w:rPr>
          <w:color w:val="231F20"/>
        </w:rPr>
        <w:t xml:space="preserve">were staged via Skype across different continents and timezones, emphasizing the contradictions of ‘live’ </w:t>
      </w:r>
      <w:r>
        <w:rPr>
          <w:color w:val="231F20"/>
        </w:rPr>
        <w:t xml:space="preserve">performance. If an actor in a Glasgow theatre space was ‘live’tohisorher‘live’audience,howdidthatnotiontranslate to the audience in Cairo, for whom his/her performance was being transmitted via Skype, subject to the visual freezing and sonic fragmentation </w:t>
      </w:r>
      <w:r>
        <w:rPr>
          <w:color w:val="231F20"/>
        </w:rPr>
        <w:t>that are familiar to so many of us in hold- ing online conversations? This question is further complicated by the addition, during the theatre performances, of pre- recordedvideomaterial.Ausslander[4]articulatestheontolog- ical instability of ‘liveness’ ra</w:t>
      </w:r>
      <w:r>
        <w:rPr>
          <w:color w:val="231F20"/>
        </w:rPr>
        <w:t xml:space="preserve">ised by such intermingling of forms: “Whereas the audience for a recorded performance ex- periences it in the present while being aware that it is a repeti- tion of the past, the audience witnessing live video in a per- formance may be more concerned with </w:t>
      </w:r>
      <w:r>
        <w:rPr>
          <w:color w:val="231F20"/>
        </w:rPr>
        <w:t>the spatial displace- ment of the image then with time-shifting” [4].</w:t>
      </w:r>
    </w:p>
    <w:p w:rsidR="00727C8B" w:rsidRDefault="00E22481">
      <w:pPr>
        <w:spacing w:line="204" w:lineRule="exact"/>
        <w:ind w:left="221"/>
        <w:rPr>
          <w:sz w:val="19"/>
        </w:rPr>
      </w:pPr>
      <w:r>
        <w:rPr>
          <w:i/>
          <w:color w:val="231F20"/>
          <w:sz w:val="19"/>
        </w:rPr>
        <w:t>Springtime</w:t>
      </w:r>
      <w:r>
        <w:rPr>
          <w:color w:val="231F20"/>
          <w:sz w:val="19"/>
        </w:rPr>
        <w:t>tookplaceintheTron'sStudioSpace,</w:t>
      </w:r>
      <w:r>
        <w:rPr>
          <w:color w:val="231F20"/>
          <w:spacing w:val="-10"/>
          <w:sz w:val="19"/>
        </w:rPr>
        <w:t>a</w:t>
      </w:r>
    </w:p>
    <w:p w:rsidR="00727C8B" w:rsidRDefault="00E22481">
      <w:pPr>
        <w:pStyle w:val="BodyText"/>
        <w:spacing w:before="3"/>
        <w:ind w:right="609"/>
      </w:pPr>
      <w:r>
        <w:rPr>
          <w:color w:val="231F20"/>
        </w:rPr>
        <w:t>traditional Black Box (Fig. 1). Eight laptops were placed on topofeightpedestals;thesewereplacedinrowsoppositeeach</w:t>
      </w:r>
    </w:p>
    <w:p w:rsidR="00727C8B" w:rsidRDefault="00727C8B">
      <w:pPr>
        <w:pStyle w:val="BodyText"/>
        <w:sectPr w:rsidR="00727C8B">
          <w:type w:val="continuous"/>
          <w:pgSz w:w="12240" w:h="15840"/>
          <w:pgMar w:top="0" w:right="720" w:bottom="720" w:left="1080" w:header="0" w:footer="539" w:gutter="0"/>
          <w:cols w:num="2" w:space="720" w:equalWidth="0">
            <w:col w:w="4842" w:space="183"/>
            <w:col w:w="5415"/>
          </w:cols>
        </w:sectPr>
      </w:pPr>
    </w:p>
    <w:p w:rsidR="00727C8B" w:rsidRDefault="00727C8B">
      <w:pPr>
        <w:pStyle w:val="BodyText"/>
        <w:spacing w:before="213"/>
        <w:ind w:left="0"/>
        <w:rPr>
          <w:sz w:val="20"/>
        </w:rPr>
      </w:pPr>
    </w:p>
    <w:p w:rsidR="00727C8B" w:rsidRDefault="00727C8B">
      <w:pPr>
        <w:pStyle w:val="BodyText"/>
        <w:rPr>
          <w:sz w:val="20"/>
        </w:rPr>
        <w:sectPr w:rsidR="00727C8B">
          <w:footerReference w:type="default" r:id="rId9"/>
          <w:pgSz w:w="12240" w:h="15840"/>
          <w:pgMar w:top="0" w:right="720" w:bottom="720" w:left="1080" w:header="0" w:footer="539" w:gutter="0"/>
          <w:cols w:space="720"/>
        </w:sectPr>
      </w:pPr>
    </w:p>
    <w:p w:rsidR="00727C8B" w:rsidRDefault="00727C8B">
      <w:pPr>
        <w:pStyle w:val="BodyText"/>
        <w:spacing w:before="65" w:line="242" w:lineRule="auto"/>
        <w:ind w:left="235" w:right="19"/>
      </w:pPr>
      <w:r w:rsidRPr="00727C8B">
        <w:lastRenderedPageBreak/>
        <w:pict>
          <v:shape id="docshape6" o:spid="_x0000_s2051" style="position:absolute;left:0;text-align:left;margin-left:582.55pt;margin-top:0;width:29.45pt;height:89.8pt;z-index:15730176;mso-position-horizontal-relative:page;mso-position-vertical-relative:page" coordorigin="11651" coordsize="589,1796" path="m12240,r-229,l11991,r-340,l11651,1795r340,l12011,1795r229,l12240,xe" fillcolor="#231f20" stroked="f">
            <v:path arrowok="t"/>
            <w10:wrap anchorx="page" anchory="page"/>
          </v:shape>
        </w:pict>
      </w:r>
      <w:r w:rsidRPr="00727C8B">
        <w:pict>
          <v:shape id="docshape7" o:spid="_x0000_s2050" type="#_x0000_t202" style="position:absolute;left:0;text-align:left;margin-left:592.4pt;margin-top:16.85pt;width:11.05pt;height:61.45pt;z-index:15730688;mso-position-horizontal-relative:page;mso-position-vertical-relative:page" filled="f" stroked="f">
            <v:textbox style="layout-flow:vertical;mso-layout-flow-alt:bottom-to-top" inset="0,0,0,0">
              <w:txbxContent>
                <w:p w:rsidR="00727C8B" w:rsidRDefault="00727C8B" w:rsidP="008B574F">
                  <w:pPr>
                    <w:spacing w:before="22"/>
                    <w:rPr>
                      <w:rFonts w:ascii="Verdana"/>
                      <w:sz w:val="14"/>
                    </w:rPr>
                  </w:pPr>
                </w:p>
              </w:txbxContent>
            </v:textbox>
            <w10:wrap anchorx="page" anchory="page"/>
          </v:shape>
        </w:pict>
      </w:r>
      <w:r w:rsidR="00E22481">
        <w:rPr>
          <w:color w:val="231F20"/>
        </w:rPr>
        <w:t>other like temple ruins. Our intention was to make theaudience walk around the laptops seeking out the media. At either end of the space we suspended two screens. These were for the Skype images. No se</w:t>
      </w:r>
      <w:r w:rsidR="00E22481">
        <w:rPr>
          <w:color w:val="231F20"/>
        </w:rPr>
        <w:t>ating was available for the audience. Most entered the space baffled and confused about what they should be doing. Two laptops were used for Skype connections with actors and musicians in Alexandria, who played friends and relatives of the Egyptians in Gla</w:t>
      </w:r>
      <w:r w:rsidR="00E22481">
        <w:rPr>
          <w:color w:val="231F20"/>
        </w:rPr>
        <w:t>sgow. Six laptops showed prerecorded films, which were shown at appropriatemomentsintheplay,thefilmsshowedscenessuch as flashbacks – an argument in a hotel room, a couple running away through the streets of Glasgow. On arrival the audience was given progra</w:t>
      </w:r>
      <w:r w:rsidR="00E22481">
        <w:rPr>
          <w:color w:val="231F20"/>
        </w:rPr>
        <w:t>mmes at the door, with basic information regardingtheshow.Manycouldnotreadtheseprogrammesas it was too dark. The lighting was arranged to create mystery, with lighting stands on either side of the theatre casting shadows on the central playing area. The au</w:t>
      </w:r>
      <w:r w:rsidR="00E22481">
        <w:rPr>
          <w:color w:val="231F20"/>
        </w:rPr>
        <w:t>dience (mixed members of the public who had not been to a theatre before as well as experienced visitors), whom we solicited feedback from via conversation afterwards, later told us they enjoyed being confused and not knowing what to expect.</w:t>
      </w:r>
    </w:p>
    <w:p w:rsidR="00727C8B" w:rsidRDefault="00E22481">
      <w:pPr>
        <w:pStyle w:val="BodyText"/>
        <w:spacing w:line="205" w:lineRule="exact"/>
        <w:ind w:left="422"/>
      </w:pPr>
      <w:r>
        <w:rPr>
          <w:color w:val="231F20"/>
        </w:rPr>
        <w:t>Audience</w:t>
      </w:r>
      <w:r>
        <w:rPr>
          <w:color w:val="231F20"/>
        </w:rPr>
        <w:t>membersalsotoldustheyinitiallythought</w:t>
      </w:r>
      <w:r>
        <w:rPr>
          <w:color w:val="231F20"/>
          <w:spacing w:val="-5"/>
        </w:rPr>
        <w:t xml:space="preserve"> the</w:t>
      </w:r>
    </w:p>
    <w:p w:rsidR="00727C8B" w:rsidRDefault="00E22481">
      <w:pPr>
        <w:pStyle w:val="BodyText"/>
        <w:spacing w:before="1" w:line="242" w:lineRule="auto"/>
        <w:ind w:left="235"/>
      </w:pPr>
      <w:r>
        <w:rPr>
          <w:color w:val="231F20"/>
        </w:rPr>
        <w:t>show was a series of random unrelated elements but realised eventuallythattherewasaplotwithcharactersandastory</w:t>
      </w:r>
      <w:r>
        <w:rPr>
          <w:color w:val="231F20"/>
        </w:rPr>
        <w:t>had unfolded. They thoroughly enjoyed the peeling back of the layers. The show was developed online via Skype conversations. Later all participants admitted to not really understandinghowthiswould workbuttrustedeachotherand myself(ShabinaAslam)todeliverand</w:t>
      </w:r>
      <w:r>
        <w:rPr>
          <w:color w:val="231F20"/>
        </w:rPr>
        <w:t xml:space="preserve">guidethemthroughthe process. They stayed the course because they were intrigued and because we were honest with them about the issues we wanted to address: those of identity and the relationship of refugees and asylum seekers to their own countries and to </w:t>
      </w:r>
      <w:r>
        <w:rPr>
          <w:color w:val="231F20"/>
        </w:rPr>
        <w:t>the West. The characters that evolved included two Egyptian visitorstoScotlanddeterminedtostayillegallyintheUK.The otherEgyptiancharactersweremoreambivalentaboutleaving Egypt. Two weeks prior to the performance we all met at the Ankur offices and decided o</w:t>
      </w:r>
      <w:r>
        <w:rPr>
          <w:color w:val="231F20"/>
        </w:rPr>
        <w:t>n a video we would make that would enhance the narrative of two Egyptians disappearing in Glasgow. The two who ‘dis-appeared’ were Amina and Mohammed. We filmed them arguing with their partners amongst the whole group; they depicted their loneliness and fe</w:t>
      </w:r>
      <w:r>
        <w:rPr>
          <w:color w:val="231F20"/>
        </w:rPr>
        <w:t>elings of being abandoned in Glasgow.</w:t>
      </w:r>
    </w:p>
    <w:p w:rsidR="00727C8B" w:rsidRDefault="00E22481">
      <w:pPr>
        <w:pStyle w:val="BodyText"/>
        <w:spacing w:line="205" w:lineRule="exact"/>
        <w:ind w:left="422"/>
      </w:pPr>
      <w:r>
        <w:rPr>
          <w:color w:val="231F20"/>
        </w:rPr>
        <w:t>Onthedayoftheshow(19May2012)wehadtwo</w:t>
      </w:r>
      <w:r>
        <w:rPr>
          <w:color w:val="231F20"/>
          <w:spacing w:val="-4"/>
        </w:rPr>
        <w:t>Skype</w:t>
      </w:r>
    </w:p>
    <w:p w:rsidR="00727C8B" w:rsidRDefault="00E22481">
      <w:pPr>
        <w:pStyle w:val="BodyText"/>
        <w:spacing w:before="2" w:line="242" w:lineRule="auto"/>
        <w:ind w:left="235" w:right="9"/>
      </w:pPr>
      <w:r>
        <w:rPr>
          <w:color w:val="231F20"/>
        </w:rPr>
        <w:t>conversations, one Skype was for Amina and Mohammed pretending to be hiding out in a cupboard in Glasgow and the secondSkypeconversationwaswiththewholeEgyptiangroup playing mus</w:t>
      </w:r>
      <w:r>
        <w:rPr>
          <w:color w:val="231F20"/>
        </w:rPr>
        <w:t>ic that underscored the reading out of the diary pages in Glasgow and in Alexandria. The show was a mixture of fictional diary pages performed live in both locations,filmed content in Glasgow shown on the laptops and live musical performances from Egypt.</w:t>
      </w:r>
    </w:p>
    <w:p w:rsidR="00727C8B" w:rsidRDefault="00E22481">
      <w:pPr>
        <w:pStyle w:val="BodyText"/>
        <w:spacing w:line="242" w:lineRule="auto"/>
        <w:ind w:left="235" w:right="47" w:firstLine="187"/>
      </w:pPr>
      <w:r>
        <w:rPr>
          <w:color w:val="231F20"/>
        </w:rPr>
        <w:t>T</w:t>
      </w:r>
      <w:r>
        <w:rPr>
          <w:color w:val="231F20"/>
        </w:rPr>
        <w:t>he two groups of Scottish Arabs and Egyptians created a response to contemporary events which unveiled as the performanceprogressed.Therippleeffectofeventsacrossthe globe can be felt as social media offers a way to bring the worldcloser,yetoffersacloakofan</w:t>
      </w:r>
      <w:r>
        <w:rPr>
          <w:color w:val="231F20"/>
        </w:rPr>
        <w:t>onymity.For many ofthe Scottish performers this was the first time that they had performed to a live audience. Their testimonies contributed to the video evidence of what happened on 4 May [Ankur Blog entry 29/05/2012; 5]. In both the development and final</w:t>
      </w:r>
      <w:r>
        <w:rPr>
          <w:color w:val="231F20"/>
        </w:rPr>
        <w:t xml:space="preserve"> performance of </w:t>
      </w:r>
      <w:r>
        <w:rPr>
          <w:i/>
          <w:color w:val="231F20"/>
        </w:rPr>
        <w:t xml:space="preserve">Springtime, </w:t>
      </w:r>
      <w:r>
        <w:rPr>
          <w:color w:val="231F20"/>
        </w:rPr>
        <w:t>representation was negotiated between translocal actors, the Ankur director and staff and translocalaudiences,forwhomthemultiplescreens,dialogues</w:t>
      </w:r>
    </w:p>
    <w:p w:rsidR="00727C8B" w:rsidRDefault="00E22481">
      <w:pPr>
        <w:pStyle w:val="BodyText"/>
        <w:spacing w:before="65"/>
        <w:ind w:left="172"/>
      </w:pPr>
      <w:r>
        <w:br w:type="column"/>
      </w:r>
      <w:r>
        <w:rPr>
          <w:color w:val="231F20"/>
        </w:rPr>
        <w:lastRenderedPageBreak/>
        <w:t xml:space="preserve">andonlinenarrativesprovidedmultiplepointsofentryintothe performance and multiple </w:t>
      </w:r>
      <w:r>
        <w:rPr>
          <w:color w:val="231F20"/>
        </w:rPr>
        <w:t>vectors of narrative flow.</w:t>
      </w:r>
    </w:p>
    <w:p w:rsidR="00727C8B" w:rsidRDefault="00E22481">
      <w:pPr>
        <w:pStyle w:val="BodyText"/>
        <w:spacing w:before="3" w:line="242" w:lineRule="auto"/>
        <w:ind w:left="172" w:right="387" w:firstLine="187"/>
      </w:pPr>
      <w:r>
        <w:rPr>
          <w:color w:val="231F20"/>
        </w:rPr>
        <w:t>This was a strategy that was also reflected in the software developed by Eleanor Dare to support the actors in the earliest rehearsal stages of the performance. The heuristic software enabledactorstoshiftbetweencharacterisations,</w:t>
      </w:r>
      <w:r>
        <w:rPr>
          <w:color w:val="231F20"/>
        </w:rPr>
        <w:t>identitiesand timezones, by generating scenarios and characters for the actors to experiment with. Anecdotally, however, it proved unnecessary as the actors had many ideas and experiences to draw upon without the use of such software. We still feel the sof</w:t>
      </w:r>
      <w:r>
        <w:rPr>
          <w:color w:val="231F20"/>
        </w:rPr>
        <w:t>twarehasvalueforyoungerorinexperiencedactors.(Itwas usedforanother2012Ankurproductioncalled“TheOlympics of the Everyday”).</w:t>
      </w:r>
    </w:p>
    <w:p w:rsidR="00727C8B" w:rsidRDefault="00E22481">
      <w:pPr>
        <w:spacing w:before="151"/>
        <w:ind w:left="172"/>
        <w:rPr>
          <w:b/>
        </w:rPr>
      </w:pPr>
      <w:r>
        <w:rPr>
          <w:b/>
          <w:color w:val="231F20"/>
          <w:spacing w:val="-2"/>
        </w:rPr>
        <w:t>Conclusion</w:t>
      </w:r>
    </w:p>
    <w:p w:rsidR="00727C8B" w:rsidRDefault="00E22481">
      <w:pPr>
        <w:spacing w:before="79" w:line="216" w:lineRule="auto"/>
        <w:ind w:left="359" w:right="597"/>
        <w:rPr>
          <w:sz w:val="18"/>
        </w:rPr>
      </w:pPr>
      <w:r>
        <w:rPr>
          <w:color w:val="231F20"/>
          <w:sz w:val="18"/>
        </w:rPr>
        <w:t>I never thought I would ever see such a show in Glasgow. The pretty poetry and enchanting music, both calling for hope and</w:t>
      </w:r>
      <w:r>
        <w:rPr>
          <w:color w:val="231F20"/>
          <w:sz w:val="18"/>
        </w:rPr>
        <w:t xml:space="preserve"> freedom. The beautiful mix of old and new reminded me how truly Arab I am….It also reminded me how close I still am to the Middle East’s revolutions, strugglesandsacrifices.TheartistslookedassurprisedasI am. Did they not expect to find Arabs here? [6]</w:t>
      </w:r>
    </w:p>
    <w:p w:rsidR="00727C8B" w:rsidRDefault="00E22481">
      <w:pPr>
        <w:pStyle w:val="BodyText"/>
        <w:spacing w:before="82" w:line="242" w:lineRule="auto"/>
        <w:ind w:left="172" w:right="362" w:firstLine="187"/>
      </w:pPr>
      <w:r>
        <w:rPr>
          <w:color w:val="231F20"/>
        </w:rPr>
        <w:t>The</w:t>
      </w:r>
      <w:r>
        <w:rPr>
          <w:color w:val="231F20"/>
        </w:rPr>
        <w:t xml:space="preserve"> quote above from actor Mahir Hayatleh's </w:t>
      </w:r>
      <w:r>
        <w:rPr>
          <w:i/>
          <w:color w:val="231F20"/>
        </w:rPr>
        <w:t xml:space="preserve">Springtime </w:t>
      </w:r>
      <w:r>
        <w:rPr>
          <w:color w:val="231F20"/>
        </w:rPr>
        <w:t>diaries, evidences the impact of creative political articulation on its participants, both Egyptian and Egyptian-Glaswegian, not least upon the notion of identity. In an era of mass global communication a</w:t>
      </w:r>
      <w:r>
        <w:rPr>
          <w:color w:val="231F20"/>
        </w:rPr>
        <w:t xml:space="preserve">nd heterogeneous forms of mobility (a term that is itself highly contestable, but might include therelocation of refugees as well as the mass movement ofmigrant workforces), the notion of the site as well as the self becomes highly volatile. </w:t>
      </w:r>
      <w:r>
        <w:rPr>
          <w:i/>
          <w:color w:val="231F20"/>
        </w:rPr>
        <w:t xml:space="preserve">Springtime </w:t>
      </w:r>
      <w:r>
        <w:rPr>
          <w:color w:val="231F20"/>
        </w:rPr>
        <w:t>end</w:t>
      </w:r>
      <w:r>
        <w:rPr>
          <w:color w:val="231F20"/>
        </w:rPr>
        <w:t>eavored to work with technologies and events that are innately dynamic and unfixable; as such we assert here that they formed an integral and substantive aspect of the play’s semantic frame. We conclude that this is a crucial aspect of creating an effectiv</w:t>
      </w:r>
      <w:r>
        <w:rPr>
          <w:color w:val="231F20"/>
        </w:rPr>
        <w:t>e live interface, that the materiality and meaning of the medium should be intrinsic to the performance and its developmental processes. The use of live video streaming is not new, and this paper is not making claims for any particular technical innovation</w:t>
      </w:r>
      <w:r>
        <w:rPr>
          <w:color w:val="231F20"/>
        </w:rPr>
        <w:t>; instead we are asking what ‘liveness’ (for all its ontologicalcontradictionanddifficulty)cancontributetowards the goals of widening participation and social change, within the specific context here of the Arab Spring and the Arab diaspora. We concur with</w:t>
      </w:r>
      <w:r>
        <w:rPr>
          <w:color w:val="231F20"/>
        </w:rPr>
        <w:t xml:space="preserve"> Allagui and Kuebler who state “the use of ICT may be seen as the new ‘technical’ basis for reviving the phenomenon of mass, non-violent protest campaigns. This pattern is certainly one that merits further empirical and analytical investigation” [7].</w:t>
      </w:r>
    </w:p>
    <w:p w:rsidR="00727C8B" w:rsidRDefault="00E22481">
      <w:pPr>
        <w:spacing w:before="123"/>
        <w:ind w:left="172"/>
        <w:rPr>
          <w:b/>
          <w:sz w:val="17"/>
        </w:rPr>
      </w:pPr>
      <w:r>
        <w:rPr>
          <w:b/>
          <w:color w:val="231F20"/>
          <w:sz w:val="17"/>
        </w:rPr>
        <w:t>Refer</w:t>
      </w:r>
      <w:r>
        <w:rPr>
          <w:b/>
          <w:color w:val="231F20"/>
          <w:sz w:val="17"/>
        </w:rPr>
        <w:t>encesand</w:t>
      </w:r>
      <w:r>
        <w:rPr>
          <w:b/>
          <w:color w:val="231F20"/>
          <w:spacing w:val="-2"/>
          <w:sz w:val="17"/>
        </w:rPr>
        <w:t>Notes</w:t>
      </w:r>
    </w:p>
    <w:p w:rsidR="00727C8B" w:rsidRDefault="00E22481">
      <w:pPr>
        <w:spacing w:before="124" w:line="223" w:lineRule="auto"/>
        <w:ind w:left="172" w:right="570"/>
        <w:jc w:val="both"/>
        <w:rPr>
          <w:sz w:val="15"/>
        </w:rPr>
      </w:pPr>
      <w:r>
        <w:rPr>
          <w:color w:val="231F20"/>
          <w:sz w:val="15"/>
        </w:rPr>
        <w:t>*BasedonapresentationatthefirstInternationalConferenceonLiveInter-faces(ICLI),7–8September2012,hostedbytheInterdisciplinaryCentreforScientific Research in Music at the University of Leeds, U.K. See</w:t>
      </w:r>
    </w:p>
    <w:p w:rsidR="00727C8B" w:rsidRDefault="00E22481">
      <w:pPr>
        <w:spacing w:line="161" w:lineRule="exact"/>
        <w:ind w:left="172"/>
        <w:rPr>
          <w:sz w:val="15"/>
        </w:rPr>
      </w:pPr>
      <w:r>
        <w:rPr>
          <w:color w:val="231F20"/>
          <w:spacing w:val="-2"/>
          <w:sz w:val="15"/>
        </w:rPr>
        <w:t>&lt;</w:t>
      </w:r>
      <w:hyperlink r:id="rId10">
        <w:r>
          <w:rPr>
            <w:color w:val="231F20"/>
            <w:spacing w:val="-2"/>
            <w:sz w:val="15"/>
          </w:rPr>
          <w:t>http://icli.lurk.org</w:t>
        </w:r>
      </w:hyperlink>
      <w:r>
        <w:rPr>
          <w:color w:val="231F20"/>
          <w:spacing w:val="-2"/>
          <w:sz w:val="15"/>
        </w:rPr>
        <w:t>&gt;.</w:t>
      </w:r>
    </w:p>
    <w:p w:rsidR="00727C8B" w:rsidRDefault="00E22481">
      <w:pPr>
        <w:pStyle w:val="ListParagraph"/>
        <w:numPr>
          <w:ilvl w:val="0"/>
          <w:numId w:val="1"/>
        </w:numPr>
        <w:tabs>
          <w:tab w:val="left" w:pos="321"/>
        </w:tabs>
        <w:spacing w:before="118" w:line="223" w:lineRule="auto"/>
        <w:ind w:right="553" w:firstLine="0"/>
        <w:rPr>
          <w:sz w:val="15"/>
        </w:rPr>
      </w:pPr>
      <w:r>
        <w:rPr>
          <w:color w:val="231F20"/>
          <w:sz w:val="15"/>
        </w:rPr>
        <w:t>Collini,S.“OnVariousness;andPersuasion,”</w:t>
      </w:r>
      <w:r>
        <w:rPr>
          <w:i/>
          <w:color w:val="231F20"/>
          <w:sz w:val="15"/>
        </w:rPr>
        <w:t>NewLeftReview</w:t>
      </w:r>
      <w:r>
        <w:rPr>
          <w:color w:val="231F20"/>
          <w:sz w:val="15"/>
        </w:rPr>
        <w:t>27(2004):65-67,2004.</w:t>
      </w:r>
    </w:p>
    <w:p w:rsidR="00727C8B" w:rsidRDefault="00E22481">
      <w:pPr>
        <w:pStyle w:val="ListParagraph"/>
        <w:numPr>
          <w:ilvl w:val="0"/>
          <w:numId w:val="1"/>
        </w:numPr>
        <w:tabs>
          <w:tab w:val="left" w:pos="321"/>
        </w:tabs>
        <w:spacing w:line="223" w:lineRule="auto"/>
        <w:ind w:right="409" w:firstLine="0"/>
        <w:rPr>
          <w:sz w:val="15"/>
        </w:rPr>
      </w:pPr>
      <w:r>
        <w:rPr>
          <w:color w:val="231F20"/>
          <w:sz w:val="15"/>
        </w:rPr>
        <w:t>Howard, P.N., Duffy, A., Freelon, D., Hussain, M., Mari, W. &amp; Mazaid, M.</w:t>
      </w:r>
      <w:r>
        <w:rPr>
          <w:i/>
          <w:color w:val="231F20"/>
          <w:sz w:val="15"/>
        </w:rPr>
        <w:t xml:space="preserve">OpeningClosedRegimes:WhatWastheRoleofSocialMediaDuringtheArabSpring? </w:t>
      </w:r>
      <w:r>
        <w:rPr>
          <w:color w:val="231F20"/>
          <w:sz w:val="15"/>
        </w:rPr>
        <w:t>(Seattle: PIPTI, 2</w:t>
      </w:r>
      <w:r>
        <w:rPr>
          <w:color w:val="231F20"/>
          <w:sz w:val="15"/>
        </w:rPr>
        <w:t>011).</w:t>
      </w:r>
    </w:p>
    <w:p w:rsidR="00727C8B" w:rsidRDefault="00E22481">
      <w:pPr>
        <w:pStyle w:val="ListParagraph"/>
        <w:numPr>
          <w:ilvl w:val="0"/>
          <w:numId w:val="1"/>
        </w:numPr>
        <w:tabs>
          <w:tab w:val="left" w:pos="321"/>
        </w:tabs>
        <w:spacing w:line="223" w:lineRule="auto"/>
        <w:ind w:right="639" w:firstLine="0"/>
        <w:rPr>
          <w:sz w:val="15"/>
        </w:rPr>
      </w:pPr>
      <w:r>
        <w:rPr>
          <w:color w:val="231F20"/>
          <w:sz w:val="15"/>
        </w:rPr>
        <w:t>Stepanova,E.“ArabSpring”ImplicationsBeyondtheRegion,PONARSEurasia Policy Memo No. 159 (May 2011).</w:t>
      </w:r>
    </w:p>
    <w:p w:rsidR="00727C8B" w:rsidRDefault="00E22481">
      <w:pPr>
        <w:pStyle w:val="ListParagraph"/>
        <w:numPr>
          <w:ilvl w:val="0"/>
          <w:numId w:val="1"/>
        </w:numPr>
        <w:tabs>
          <w:tab w:val="left" w:pos="321"/>
        </w:tabs>
        <w:spacing w:line="223" w:lineRule="auto"/>
        <w:ind w:right="524" w:firstLine="0"/>
        <w:rPr>
          <w:sz w:val="15"/>
        </w:rPr>
      </w:pPr>
      <w:r>
        <w:rPr>
          <w:color w:val="231F20"/>
          <w:sz w:val="15"/>
        </w:rPr>
        <w:t>Ausslander,P.,inJefferies,Janis,Chatzichristodoulou,MariaandZerihan,Rachel. Interfaces of Performance – Digital Research in the Arts andHumanities (Alde</w:t>
      </w:r>
      <w:r>
        <w:rPr>
          <w:color w:val="231F20"/>
          <w:sz w:val="15"/>
        </w:rPr>
        <w:t>rgate: Ashgate Publishing, 2009).</w:t>
      </w:r>
    </w:p>
    <w:p w:rsidR="00727C8B" w:rsidRDefault="00E22481">
      <w:pPr>
        <w:pStyle w:val="ListParagraph"/>
        <w:numPr>
          <w:ilvl w:val="0"/>
          <w:numId w:val="1"/>
        </w:numPr>
        <w:tabs>
          <w:tab w:val="left" w:pos="321"/>
        </w:tabs>
        <w:spacing w:line="155" w:lineRule="exact"/>
        <w:ind w:left="321" w:hanging="149"/>
        <w:rPr>
          <w:sz w:val="15"/>
        </w:rPr>
      </w:pPr>
      <w:r>
        <w:rPr>
          <w:color w:val="231F20"/>
          <w:sz w:val="15"/>
        </w:rPr>
        <w:t>AnkurProductionswebsiteavailable</w:t>
      </w:r>
      <w:r>
        <w:rPr>
          <w:color w:val="231F20"/>
          <w:spacing w:val="-5"/>
          <w:sz w:val="15"/>
        </w:rPr>
        <w:t>at:</w:t>
      </w:r>
    </w:p>
    <w:p w:rsidR="00727C8B" w:rsidRDefault="00E22481">
      <w:pPr>
        <w:spacing w:line="160" w:lineRule="exact"/>
        <w:ind w:left="172"/>
        <w:rPr>
          <w:sz w:val="15"/>
        </w:rPr>
      </w:pPr>
      <w:r>
        <w:rPr>
          <w:color w:val="231F20"/>
          <w:spacing w:val="-2"/>
          <w:sz w:val="15"/>
        </w:rPr>
        <w:t>&lt;</w:t>
      </w:r>
      <w:hyperlink r:id="rId11">
        <w:r>
          <w:rPr>
            <w:color w:val="231F20"/>
            <w:spacing w:val="-2"/>
            <w:sz w:val="15"/>
          </w:rPr>
          <w:t>www.ankurproductions.org.uk/#/about-us/vision</w:t>
        </w:r>
      </w:hyperlink>
      <w:r>
        <w:rPr>
          <w:color w:val="231F20"/>
          <w:spacing w:val="-2"/>
          <w:sz w:val="15"/>
        </w:rPr>
        <w:t>&gt;.Accessed17/07/12.</w:t>
      </w:r>
    </w:p>
    <w:p w:rsidR="00727C8B" w:rsidRDefault="00E22481">
      <w:pPr>
        <w:pStyle w:val="ListParagraph"/>
        <w:numPr>
          <w:ilvl w:val="0"/>
          <w:numId w:val="1"/>
        </w:numPr>
        <w:tabs>
          <w:tab w:val="left" w:pos="321"/>
        </w:tabs>
        <w:spacing w:line="160" w:lineRule="exact"/>
        <w:ind w:left="321" w:hanging="149"/>
        <w:rPr>
          <w:sz w:val="15"/>
        </w:rPr>
      </w:pPr>
      <w:r>
        <w:rPr>
          <w:color w:val="231F20"/>
          <w:sz w:val="15"/>
        </w:rPr>
        <w:t>MahirHayatleh,actor,</w:t>
      </w:r>
      <w:r>
        <w:rPr>
          <w:i/>
          <w:color w:val="231F20"/>
          <w:sz w:val="15"/>
        </w:rPr>
        <w:t>Springtime</w:t>
      </w:r>
      <w:r>
        <w:rPr>
          <w:color w:val="231F20"/>
          <w:sz w:val="15"/>
        </w:rPr>
        <w:t>diaries,</w:t>
      </w:r>
      <w:r>
        <w:rPr>
          <w:color w:val="231F20"/>
          <w:spacing w:val="-4"/>
          <w:sz w:val="15"/>
        </w:rPr>
        <w:t>2012.</w:t>
      </w:r>
    </w:p>
    <w:p w:rsidR="00727C8B" w:rsidRDefault="00E22481">
      <w:pPr>
        <w:pStyle w:val="ListParagraph"/>
        <w:numPr>
          <w:ilvl w:val="0"/>
          <w:numId w:val="1"/>
        </w:numPr>
        <w:tabs>
          <w:tab w:val="left" w:pos="321"/>
        </w:tabs>
        <w:spacing w:line="160" w:lineRule="exact"/>
        <w:ind w:left="321" w:hanging="149"/>
        <w:rPr>
          <w:sz w:val="15"/>
        </w:rPr>
      </w:pPr>
      <w:r>
        <w:rPr>
          <w:color w:val="231F20"/>
          <w:sz w:val="15"/>
        </w:rPr>
        <w:t>Allagui,I.andKuebler,J.2011“TheArabSpringandtheRoleof</w:t>
      </w:r>
      <w:r>
        <w:rPr>
          <w:color w:val="231F20"/>
          <w:spacing w:val="-2"/>
          <w:sz w:val="15"/>
        </w:rPr>
        <w:t>ICTs,”</w:t>
      </w:r>
    </w:p>
    <w:p w:rsidR="00727C8B" w:rsidRDefault="00E22481">
      <w:pPr>
        <w:spacing w:line="166" w:lineRule="exact"/>
        <w:ind w:left="172"/>
        <w:rPr>
          <w:sz w:val="15"/>
        </w:rPr>
      </w:pPr>
      <w:r>
        <w:rPr>
          <w:i/>
          <w:color w:val="231F20"/>
          <w:sz w:val="15"/>
        </w:rPr>
        <w:t>InternationalJournalofCommunication</w:t>
      </w:r>
      <w:r>
        <w:rPr>
          <w:color w:val="231F20"/>
          <w:sz w:val="15"/>
        </w:rPr>
        <w:t>5(2011),Feature1435-</w:t>
      </w:r>
      <w:r>
        <w:rPr>
          <w:color w:val="231F20"/>
          <w:spacing w:val="-2"/>
          <w:sz w:val="15"/>
        </w:rPr>
        <w:t>1442.</w:t>
      </w:r>
    </w:p>
    <w:sectPr w:rsidR="00727C8B" w:rsidSect="00727C8B">
      <w:type w:val="continuous"/>
      <w:pgSz w:w="12240" w:h="15840"/>
      <w:pgMar w:top="0" w:right="720" w:bottom="720" w:left="1080" w:header="0" w:footer="539" w:gutter="0"/>
      <w:cols w:num="2" w:space="720" w:equalWidth="0">
        <w:col w:w="5050" w:space="40"/>
        <w:col w:w="535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481" w:rsidRDefault="00E22481" w:rsidP="00727C8B">
      <w:r>
        <w:separator/>
      </w:r>
    </w:p>
  </w:endnote>
  <w:endnote w:type="continuationSeparator" w:id="1">
    <w:p w:rsidR="00E22481" w:rsidRDefault="00E22481" w:rsidP="00727C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C8B" w:rsidRDefault="00727C8B">
    <w:pPr>
      <w:pStyle w:val="BodyText"/>
      <w:spacing w:line="14" w:lineRule="auto"/>
      <w:ind w:left="0"/>
      <w:rPr>
        <w:sz w:val="20"/>
      </w:rPr>
    </w:pPr>
    <w:r w:rsidRPr="00727C8B">
      <w:rPr>
        <w:sz w:val="20"/>
      </w:rPr>
      <w:pict>
        <v:shapetype id="_x0000_t202" coordsize="21600,21600" o:spt="202" path="m,l,21600r21600,l21600,xe">
          <v:stroke joinstyle="miter"/>
          <v:path gradientshapeok="t" o:connecttype="rect"/>
        </v:shapetype>
        <v:shape id="docshape1" o:spid="_x0000_s1027" type="#_x0000_t202" style="position:absolute;margin-left:53.2pt;margin-top:754.05pt;width:174.65pt;height:11.2pt;z-index:-15788032;mso-position-horizontal-relative:page;mso-position-vertical-relative:page" filled="f" stroked="f">
          <v:textbox inset="0,0,0,0">
            <w:txbxContent>
              <w:p w:rsidR="00727C8B" w:rsidRDefault="00E22481">
                <w:pPr>
                  <w:spacing w:before="22"/>
                  <w:ind w:left="20"/>
                  <w:rPr>
                    <w:rFonts w:ascii="Verdana" w:hAnsi="Verdana"/>
                    <w:sz w:val="14"/>
                  </w:rPr>
                </w:pPr>
                <w:r>
                  <w:rPr>
                    <w:rFonts w:ascii="Verdana" w:hAnsi="Verdana"/>
                    <w:color w:val="231F20"/>
                    <w:spacing w:val="-6"/>
                    <w:sz w:val="14"/>
                  </w:rPr>
                  <w:t>284LEONARDO,Vol.48,No.3,pp.284–285,2015</w:t>
                </w:r>
              </w:p>
            </w:txbxContent>
          </v:textbox>
          <w10:wrap anchorx="page" anchory="page"/>
        </v:shape>
      </w:pict>
    </w:r>
    <w:r w:rsidRPr="00727C8B">
      <w:rPr>
        <w:sz w:val="20"/>
      </w:rPr>
      <w:pict>
        <v:shape id="docshape2" o:spid="_x0000_s1026" type="#_x0000_t202" style="position:absolute;margin-left:394.7pt;margin-top:754.15pt;width:146.55pt;height:11.1pt;z-index:-15787520;mso-position-horizontal-relative:page;mso-position-vertical-relative:page" filled="f" stroked="f">
          <v:textbox inset="0,0,0,0">
            <w:txbxContent>
              <w:p w:rsidR="00727C8B" w:rsidRDefault="00E22481">
                <w:pPr>
                  <w:spacing w:before="20"/>
                  <w:ind w:left="20"/>
                  <w:rPr>
                    <w:rFonts w:ascii="Verdana" w:hAnsi="Verdana"/>
                    <w:sz w:val="14"/>
                  </w:rPr>
                </w:pPr>
                <w:r>
                  <w:rPr>
                    <w:rFonts w:ascii="Verdana" w:hAnsi="Verdana"/>
                    <w:color w:val="231F20"/>
                    <w:w w:val="95"/>
                    <w:sz w:val="14"/>
                  </w:rPr>
                  <w:t>doi:10.1162/LEON_a_01011©2015</w:t>
                </w:r>
                <w:r>
                  <w:rPr>
                    <w:rFonts w:ascii="Verdana" w:hAnsi="Verdana"/>
                    <w:color w:val="231F20"/>
                    <w:spacing w:val="-4"/>
                    <w:w w:val="85"/>
                    <w:sz w:val="14"/>
                  </w:rPr>
                  <w:t>ISAST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C8B" w:rsidRDefault="00727C8B">
    <w:pPr>
      <w:pStyle w:val="BodyText"/>
      <w:spacing w:line="14" w:lineRule="auto"/>
      <w:ind w:left="0"/>
      <w:rPr>
        <w:sz w:val="20"/>
      </w:rPr>
    </w:pPr>
    <w:r w:rsidRPr="00727C8B">
      <w:rPr>
        <w:sz w:val="20"/>
      </w:rPr>
      <w:pict>
        <v:shapetype id="_x0000_t202" coordsize="21600,21600" o:spt="202" path="m,l,21600r21600,l21600,xe">
          <v:stroke joinstyle="miter"/>
          <v:path gradientshapeok="t" o:connecttype="rect"/>
        </v:shapetype>
        <v:shape id="docshape5" o:spid="_x0000_s1025" type="#_x0000_t202" style="position:absolute;margin-left:502pt;margin-top:754.05pt;width:57.2pt;height:11.1pt;z-index:-15787008;mso-position-horizontal-relative:page;mso-position-vertical-relative:page" filled="f" stroked="f">
          <v:textbox inset="0,0,0,0">
            <w:txbxContent>
              <w:p w:rsidR="00727C8B" w:rsidRDefault="00E22481">
                <w:pPr>
                  <w:spacing w:before="20"/>
                  <w:ind w:left="20"/>
                  <w:rPr>
                    <w:rFonts w:ascii="Verdana"/>
                    <w:sz w:val="14"/>
                  </w:rPr>
                </w:pPr>
                <w:r>
                  <w:rPr>
                    <w:rFonts w:ascii="Verdana"/>
                    <w:color w:val="231F20"/>
                    <w:w w:val="85"/>
                    <w:sz w:val="14"/>
                  </w:rPr>
                  <w:t>Transactions</w:t>
                </w:r>
                <w:r>
                  <w:rPr>
                    <w:rFonts w:ascii="Verdana"/>
                    <w:color w:val="231F20"/>
                    <w:spacing w:val="-5"/>
                    <w:sz w:val="14"/>
                  </w:rPr>
                  <w:t>285</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481" w:rsidRDefault="00E22481" w:rsidP="00727C8B">
      <w:r>
        <w:separator/>
      </w:r>
    </w:p>
  </w:footnote>
  <w:footnote w:type="continuationSeparator" w:id="1">
    <w:p w:rsidR="00E22481" w:rsidRDefault="00E22481" w:rsidP="00727C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85ADE"/>
    <w:multiLevelType w:val="hybridMultilevel"/>
    <w:tmpl w:val="FD821A9A"/>
    <w:lvl w:ilvl="0" w:tplc="F7BEB8F8">
      <w:start w:val="1"/>
      <w:numFmt w:val="decimal"/>
      <w:lvlText w:val="%1."/>
      <w:lvlJc w:val="left"/>
      <w:pPr>
        <w:ind w:left="172" w:hanging="151"/>
        <w:jc w:val="left"/>
      </w:pPr>
      <w:rPr>
        <w:rFonts w:ascii="Times New Roman" w:eastAsia="Times New Roman" w:hAnsi="Times New Roman" w:cs="Times New Roman" w:hint="default"/>
        <w:b/>
        <w:bCs/>
        <w:i w:val="0"/>
        <w:iCs w:val="0"/>
        <w:color w:val="231F20"/>
        <w:spacing w:val="0"/>
        <w:w w:val="100"/>
        <w:sz w:val="15"/>
        <w:szCs w:val="15"/>
        <w:lang w:val="en-US" w:eastAsia="en-US" w:bidi="ar-SA"/>
      </w:rPr>
    </w:lvl>
    <w:lvl w:ilvl="1" w:tplc="ABF429FE">
      <w:numFmt w:val="bullet"/>
      <w:lvlText w:val="•"/>
      <w:lvlJc w:val="left"/>
      <w:pPr>
        <w:ind w:left="697" w:hanging="151"/>
      </w:pPr>
      <w:rPr>
        <w:rFonts w:hint="default"/>
        <w:lang w:val="en-US" w:eastAsia="en-US" w:bidi="ar-SA"/>
      </w:rPr>
    </w:lvl>
    <w:lvl w:ilvl="2" w:tplc="521C5E1C">
      <w:numFmt w:val="bullet"/>
      <w:lvlText w:val="•"/>
      <w:lvlJc w:val="left"/>
      <w:pPr>
        <w:ind w:left="1214" w:hanging="151"/>
      </w:pPr>
      <w:rPr>
        <w:rFonts w:hint="default"/>
        <w:lang w:val="en-US" w:eastAsia="en-US" w:bidi="ar-SA"/>
      </w:rPr>
    </w:lvl>
    <w:lvl w:ilvl="3" w:tplc="AC56F55E">
      <w:numFmt w:val="bullet"/>
      <w:lvlText w:val="•"/>
      <w:lvlJc w:val="left"/>
      <w:pPr>
        <w:ind w:left="1731" w:hanging="151"/>
      </w:pPr>
      <w:rPr>
        <w:rFonts w:hint="default"/>
        <w:lang w:val="en-US" w:eastAsia="en-US" w:bidi="ar-SA"/>
      </w:rPr>
    </w:lvl>
    <w:lvl w:ilvl="4" w:tplc="D9144E2C">
      <w:numFmt w:val="bullet"/>
      <w:lvlText w:val="•"/>
      <w:lvlJc w:val="left"/>
      <w:pPr>
        <w:ind w:left="2248" w:hanging="151"/>
      </w:pPr>
      <w:rPr>
        <w:rFonts w:hint="default"/>
        <w:lang w:val="en-US" w:eastAsia="en-US" w:bidi="ar-SA"/>
      </w:rPr>
    </w:lvl>
    <w:lvl w:ilvl="5" w:tplc="6EC6396E">
      <w:numFmt w:val="bullet"/>
      <w:lvlText w:val="•"/>
      <w:lvlJc w:val="left"/>
      <w:pPr>
        <w:ind w:left="2765" w:hanging="151"/>
      </w:pPr>
      <w:rPr>
        <w:rFonts w:hint="default"/>
        <w:lang w:val="en-US" w:eastAsia="en-US" w:bidi="ar-SA"/>
      </w:rPr>
    </w:lvl>
    <w:lvl w:ilvl="6" w:tplc="996E89E4">
      <w:numFmt w:val="bullet"/>
      <w:lvlText w:val="•"/>
      <w:lvlJc w:val="left"/>
      <w:pPr>
        <w:ind w:left="3282" w:hanging="151"/>
      </w:pPr>
      <w:rPr>
        <w:rFonts w:hint="default"/>
        <w:lang w:val="en-US" w:eastAsia="en-US" w:bidi="ar-SA"/>
      </w:rPr>
    </w:lvl>
    <w:lvl w:ilvl="7" w:tplc="7BACDD12">
      <w:numFmt w:val="bullet"/>
      <w:lvlText w:val="•"/>
      <w:lvlJc w:val="left"/>
      <w:pPr>
        <w:ind w:left="3799" w:hanging="151"/>
      </w:pPr>
      <w:rPr>
        <w:rFonts w:hint="default"/>
        <w:lang w:val="en-US" w:eastAsia="en-US" w:bidi="ar-SA"/>
      </w:rPr>
    </w:lvl>
    <w:lvl w:ilvl="8" w:tplc="7A98BA22">
      <w:numFmt w:val="bullet"/>
      <w:lvlText w:val="•"/>
      <w:lvlJc w:val="left"/>
      <w:pPr>
        <w:ind w:left="4316" w:hanging="15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727C8B"/>
    <w:rsid w:val="00727C8B"/>
    <w:rsid w:val="008B574F"/>
    <w:rsid w:val="00E2248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7C8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27C8B"/>
    <w:pPr>
      <w:ind w:left="34"/>
    </w:pPr>
    <w:rPr>
      <w:sz w:val="19"/>
      <w:szCs w:val="19"/>
    </w:rPr>
  </w:style>
  <w:style w:type="paragraph" w:styleId="Title">
    <w:name w:val="Title"/>
    <w:basedOn w:val="Normal"/>
    <w:uiPriority w:val="1"/>
    <w:qFormat/>
    <w:rsid w:val="00727C8B"/>
    <w:pPr>
      <w:spacing w:before="143"/>
      <w:ind w:left="34"/>
    </w:pPr>
    <w:rPr>
      <w:b/>
      <w:bCs/>
      <w:sz w:val="25"/>
      <w:szCs w:val="25"/>
    </w:rPr>
  </w:style>
  <w:style w:type="paragraph" w:styleId="ListParagraph">
    <w:name w:val="List Paragraph"/>
    <w:basedOn w:val="Normal"/>
    <w:uiPriority w:val="1"/>
    <w:qFormat/>
    <w:rsid w:val="00727C8B"/>
    <w:pPr>
      <w:ind w:left="172"/>
    </w:pPr>
  </w:style>
  <w:style w:type="paragraph" w:customStyle="1" w:styleId="TableParagraph">
    <w:name w:val="Table Paragraph"/>
    <w:basedOn w:val="Normal"/>
    <w:uiPriority w:val="1"/>
    <w:qFormat/>
    <w:rsid w:val="00727C8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kurproductions.org.uk/%23/about-us/vision" TargetMode="External"/><Relationship Id="rId5" Type="http://schemas.openxmlformats.org/officeDocument/2006/relationships/footnotes" Target="footnotes.xml"/><Relationship Id="rId10" Type="http://schemas.openxmlformats.org/officeDocument/2006/relationships/hyperlink" Target="http://icli.lurk.org/"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2018</Words>
  <Characters>11507</Characters>
  <Application>Microsoft Office Word</Application>
  <DocSecurity>0</DocSecurity>
  <Lines>95</Lines>
  <Paragraphs>26</Paragraphs>
  <ScaleCrop>false</ScaleCrop>
  <Company/>
  <LinksUpToDate>false</LinksUpToDate>
  <CharactersWithSpaces>13499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mitl52_pages.v5-web.indd</dc:title>
  <cp:lastModifiedBy>RICARDO PARDO</cp:lastModifiedBy>
  <cp:revision>2</cp:revision>
  <dcterms:created xsi:type="dcterms:W3CDTF">2026-04-16T09:00:00Z</dcterms:created>
  <dcterms:modified xsi:type="dcterms:W3CDTF">2026-04-16T09:03:00Z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2015-04-27T00:00:00Z</vt:filetime>
  </property>
  <property fmtid="{D5CDD505-2E9C-101B-9397-08002B2CF9AE}" pid="3" name="Creator">
    <vt:lpwstr>Adobe InDesign CS4 (6.0.6)</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2026-04-16T00:00:00Z</vt:filetime>
  </property>
  <property fmtid="{D5CDD505-2E9C-101B-9397-08002B2CF9AE}" pid="7" name="Producer">
    <vt:lpwstr>Adobe PDF Library 9.0</vt:lpwstr>
  </property>
</Properties>
</file>